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0" w:right="458.5626220703125"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Building an Algorithmic Advisory System for Moral Decision Making in the Health-Care Sector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445.5799865722656" w:right="458.5626220703125"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0" w:right="458.562622070312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Lukas J. Meier, University of Cambridge</w:t>
        <w:tab/>
        <w:t xml:space="preserve">(United Kingdom)</w:t>
        <w:tab/>
        <w:tab/>
        <w:tab/>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0" w:right="458.5626220703125"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Alice Hein,Technical University of Munich (Germany)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0" w:right="458.562622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International Conference on Computer Ethics: Philosophical Enquiry (CEPE) 2023, Chicago, IL</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445.5799865722656" w:right="458.5626220703125"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4676456451416" w:lineRule="auto"/>
        <w:ind w:left="0" w:right="458.5626220703125"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w:t>
      </w:r>
      <w:r w:rsidDel="00000000" w:rsidR="00000000" w:rsidRPr="00000000">
        <w:rPr>
          <w:rFonts w:ascii="Times New Roman" w:cs="Times New Roman" w:eastAsia="Times New Roman" w:hAnsi="Times New Roman"/>
          <w:rtl w:val="0"/>
        </w:rPr>
        <w:t xml:space="preserve">Artificial intelligence, medical ethics, computing ethics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9482421875" w:line="258.6844539642334" w:lineRule="auto"/>
        <w:ind w:left="8.800048828125" w:right="7.720947265625" w:firstLine="4.83993530273437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Extended Abstract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9.69482421875" w:line="258.6844539642334" w:lineRule="auto"/>
        <w:ind w:left="8.800048828125" w:right="7.720947265625" w:firstLine="4.8399353027343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Can medical ethics be made computable? Machine intelligence already helps health-care staff with a number of tasks. Ethical decision-making, however, has not been handed over to machines. We developed the world’s first algorithm for advising on a range of moral dilemma situations that occur in medical institutions.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2568359375" w:line="258.9872646331787" w:lineRule="auto"/>
        <w:ind w:left="5.279998779296875" w:right="3.760986328125" w:firstLine="727.2599792480469"/>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this talk, we explain how we chose an appropriate ethical framework, why we used fuzzy cognitive maps to set up the advisory system, and how we utilised machine learning to train it. We report on the difficult task of operationalising the principles of beneficence, </w:t>
      </w:r>
      <w:r w:rsidDel="00000000" w:rsidR="00000000" w:rsidRPr="00000000">
        <w:rPr>
          <w:rFonts w:ascii="Times New Roman" w:cs="Times New Roman" w:eastAsia="Times New Roman" w:hAnsi="Times New Roman"/>
          <w:rtl w:val="0"/>
        </w:rPr>
        <w:t xml:space="preserve">nonmaleficence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and patient autonomy, and describe how we selected suitable input parameters that we extracted from a training dataset of clinical cases.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44921875" w:line="240" w:lineRule="auto"/>
        <w:ind w:left="6.38000488281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Ethical Basis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607421875" w:line="258.98712158203125" w:lineRule="auto"/>
        <w:ind w:left="5.279998779296875" w:right="-1.9189453125" w:firstLine="3.0799865722656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Like any ethical judgments taken by humans, ethical algorithmic decision-making must be rooted in a moral framework. When constructing an artificial moral agent, the primary </w:t>
      </w:r>
      <w:r w:rsidDel="00000000" w:rsidR="00000000" w:rsidRPr="00000000">
        <w:rPr>
          <w:rFonts w:ascii="Times New Roman" w:cs="Times New Roman" w:eastAsia="Times New Roman" w:hAnsi="Times New Roman"/>
          <w:rtl w:val="0"/>
        </w:rPr>
        <w:t xml:space="preserve">question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is</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therefore</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that of the underlying normative ethical theory. Roughly speaking, </w:t>
      </w:r>
      <w:r w:rsidDel="00000000" w:rsidR="00000000" w:rsidRPr="00000000">
        <w:rPr>
          <w:rFonts w:ascii="Times New Roman" w:cs="Times New Roman" w:eastAsia="Times New Roman" w:hAnsi="Times New Roman"/>
          <w:rtl w:val="0"/>
        </w:rPr>
        <w:t xml:space="preserve">philosophers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distinguish between three fundamental types of ethical theories: the teleological, the deontological, and the aretaic.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546875" w:line="258.9872646331787" w:lineRule="auto"/>
        <w:ind w:left="0" w:right="2.32177734375" w:firstLine="721.979980468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According to teleological approaches, the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consequences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of an act determine whether the latter is morally right. Conversely, deontologists hold that actions are morally right when they conform to a particular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norm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or set of norms. The third fundamental normative ethical theory is virtue ethics. According to this framework, moral actions are the result of an </w:t>
      </w:r>
      <w:r w:rsidDel="00000000" w:rsidR="00000000" w:rsidRPr="00000000">
        <w:rPr>
          <w:rFonts w:ascii="Times New Roman" w:cs="Times New Roman" w:eastAsia="Times New Roman" w:hAnsi="Times New Roman"/>
          <w:rtl w:val="0"/>
        </w:rPr>
        <w:t xml:space="preserve">individual’s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acquiring praiseworthy dispositions of character.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4736328125" w:line="258.9872646331787" w:lineRule="auto"/>
        <w:ind w:left="5.279998779296875" w:right="3.978271484375" w:firstLine="728.359985351562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Given the three theories’ complementary strengths and weaknesses, even hundreds of years of philosophising have not resulted in one of them emerging as superior. Until </w:t>
      </w:r>
      <w:r w:rsidDel="00000000" w:rsidR="00000000" w:rsidRPr="00000000">
        <w:rPr>
          <w:rFonts w:ascii="Times New Roman" w:cs="Times New Roman" w:eastAsia="Times New Roman" w:hAnsi="Times New Roman"/>
          <w:rtl w:val="0"/>
        </w:rPr>
        <w:t xml:space="preserve">recently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this problem pertained only to human action. However, our ability to construct autonomous agents now requires that we make a decision regarding which moral principle to implement.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546875" w:line="258.68425369262695" w:lineRule="auto"/>
        <w:ind w:left="8.800048828125" w:right="2.701416015625" w:firstLine="723.7399291992188"/>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the domain of clinical ethics, however, it became clear early on that consultants could not afford on a daily basis to engage in lengthy debates about which fundamental moral theory ought to prevail. Less general approaches of greater practical applicability were developed – among them casuistry, narrative ethics, feminist ethics, and principlism.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31787109375" w:line="258.8053894042969" w:lineRule="auto"/>
        <w:ind w:left="5.279998779296875" w:right="-1.81884765625" w:firstLine="716.6999816894531"/>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We chose principlism as the basis of our advisory algorithm because it provides a set of decision factors common across case types which lends itself to being translated into </w:t>
      </w:r>
      <w:r w:rsidDel="00000000" w:rsidR="00000000" w:rsidRPr="00000000">
        <w:rPr>
          <w:rFonts w:ascii="Times New Roman" w:cs="Times New Roman" w:eastAsia="Times New Roman" w:hAnsi="Times New Roman"/>
          <w:rtl w:val="0"/>
        </w:rPr>
        <w:t xml:space="preserve">machine-readable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values. Tom Beauchamp and James Childress first proposed principlism in the 1979 edition of their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Principles of Biomedical Ethics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Famously, their set of prima-facie principles comprises beneficence, non-maleficence, respect for patient autonomy and justice. But how does one build an algorithm around these principles?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21728515625" w:line="240" w:lineRule="auto"/>
        <w:ind w:left="6.38000488281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Model and Training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94873046875" w:line="258.8055610656738" w:lineRule="auto"/>
        <w:ind w:left="0" w:right="-1.297607421875" w:firstLine="1.979980468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As the technical solution for implementing Beauchamp and Childress’ prima-facie approach, we chose a type of machine-learning model known as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fuzzy cognitive maps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(FCMs). FCMs are machine-learning models that can simulate dynamic systems, such as human decision-mak ing processes. The relevant components of the process are mapped onto a causal graph which consists of nodes that are linked by causal connections. Nodes represent the entities or concepts to be modelled. In our case, these are parameters of the respective medical case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8968982696533" w:lineRule="auto"/>
        <w:ind w:left="0" w:right="10.58349609375"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for example, whether the patient has reached the age of majority – as well as higher-level concepts, such as the principle of beneficence.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9775390625" w:line="259.2904758453369" w:lineRule="auto"/>
        <w:ind w:left="5.059967041015625" w:right="0.92041015625" w:firstLine="721.1000061035156"/>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connections between nodes are weighted, which means that some factors can have a stronger influence on intermediate or output nodes than others. On the basis of the input values of a case and the connections between nodes, the FCM can simulate the causal interactions between the decision-relevant concepts over time.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6416015625" w:line="259.0699768066406" w:lineRule="auto"/>
        <w:ind w:left="0" w:right="-3.6181640625" w:firstLine="721.979980468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At each simulation step, every node in the network aggregates all the values of the concepts by which it is influenced, weighted by its incoming causal connections. The node that represents the principle of autonomy, for example, aggregates a number of factors – such as whether the patient has decisional capacity. Each factor is weighted by the strength of the incoming connection between the factor and the autonomy node. Once a node has weighted and aggregated the values of all the nodes by which it is influenced, the resulting number is mapped to a value between 0 and 1 using an S-shaped activation function. Each node then passes its aggregated activation onto all the nodes that are influenced by it – again via weighted connections. The autonomy node may, for example, transmit its value to a node that represents whether to follow the patient’s treatment preference. This process is repeated over several time steps until the system stabilises. The algorithm then reports its recommendation regarding the intervention in question in an output node.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783203125" w:line="258.9874076843262" w:lineRule="auto"/>
        <w:ind w:left="2.20001220703125" w:right="-2.67822265625" w:firstLine="731.4399719238281"/>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One can either manually specify the strength and the polarity of the connections between the nodes in an FCM or acquire them from input examples through various forms of machine learning. We chose a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genetic algorithm</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which is a machine-learning method in spired by evolutionary biology. Genetic algorithms start out from a pool of random guesses that are refined and improved over time. For each ‘generation’, the algorithm identifies the guess, that is, the set of FCM connection weights, that delivers the best results – namely, those that are closest to the solution provided by human ethicists. The guesses are used to breed a new and even better generation of solutions. At certain intervals, random mutations are introduced to add some variation to the solution pool. This process is repeated until a certain performance threshold is reached or until no further improvement is observed over a set number of generations.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51025390625" w:line="240" w:lineRule="auto"/>
        <w:ind w:left="3.5200500488281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User Interface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6435546875" w:line="258.8574028015137" w:lineRule="auto"/>
        <w:ind w:left="0" w:right="7.2802734375" w:firstLine="1.979980468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With the technical architecture in place, the next step was to provide the algorithm with the input categories necessary to capture the specific parameters of individual cases. To do this, we identified the variables that usually play a role in case discussions of clinical ethics </w:t>
      </w:r>
      <w:r w:rsidDel="00000000" w:rsidR="00000000" w:rsidRPr="00000000">
        <w:rPr>
          <w:rFonts w:ascii="Times New Roman" w:cs="Times New Roman" w:eastAsia="Times New Roman" w:hAnsi="Times New Roman"/>
          <w:rtl w:val="0"/>
        </w:rPr>
        <w:t xml:space="preserve">committees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The algorithm begins by asking general questions about the patient’s current health status to obtain the background against which any positive or negative consequences that the treatment may yield will be compared. The algorithm then proceeds to request the </w:t>
      </w:r>
      <w:r w:rsidDel="00000000" w:rsidR="00000000" w:rsidRPr="00000000">
        <w:rPr>
          <w:rFonts w:ascii="Times New Roman" w:cs="Times New Roman" w:eastAsia="Times New Roman" w:hAnsi="Times New Roman"/>
          <w:rtl w:val="0"/>
        </w:rPr>
        <w:t xml:space="preserve">values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for the variables that underlie Beauchamp and Childress’ principles of beneficence, non maleficence, and autonomy. The questions are grouped accordingly.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7412109375" w:line="240" w:lineRule="auto"/>
        <w:ind w:left="6.380004882812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Dataset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96435546875" w:line="258.6844539642334" w:lineRule="auto"/>
        <w:ind w:left="8.800048828125" w:right="-3.658447265625" w:hanging="6.8200683593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Algorithms must be trained before they function properly. For supervised learning, one provides a model with a range of inputs and a corresponding set of predefined solutions, the so-called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labels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The algorithm is then trained to learn a mapping that will most closely match the inputs in its dataset to the given answers.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3226318359375" w:line="258.9872646331787" w:lineRule="auto"/>
        <w:ind w:left="10.55999755859375" w:right="-6.077880859375" w:firstLine="711.4199829101562"/>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When machine intelligence is used, for instance, to detect tumors in images of stained tissue slides taken from biopsies, pathologists label each image of the training data set that is fed into the algorithm regarding whether it contains healthy or abnormal tissue. In the field of ethics, these labels are much more difficult to obtain. Ethically relevant </w:t>
      </w:r>
      <w:r w:rsidDel="00000000" w:rsidR="00000000" w:rsidRPr="00000000">
        <w:rPr>
          <w:rFonts w:ascii="Times New Roman" w:cs="Times New Roman" w:eastAsia="Times New Roman" w:hAnsi="Times New Roman"/>
          <w:rtl w:val="0"/>
        </w:rPr>
        <w:t xml:space="preserve">situations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rarely admit of ‘objectively correct’ solutions. What is morally right can be highly controversial. However, the supervised training of algorithms requires definite answers – in our case whether to recommend a certain medical intervention or to advise against it. How could one acquire this data?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546875" w:line="258.9872646331787" w:lineRule="auto"/>
        <w:ind w:left="5.059967041015625" w:right="0.501708984375" w:firstLine="728.5800170898438"/>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Cases that were brought before clinical ethics committees emerged as the most </w:t>
      </w:r>
      <w:r w:rsidDel="00000000" w:rsidR="00000000" w:rsidRPr="00000000">
        <w:rPr>
          <w:rFonts w:ascii="Times New Roman" w:cs="Times New Roman" w:eastAsia="Times New Roman" w:hAnsi="Times New Roman"/>
          <w:rtl w:val="0"/>
        </w:rPr>
        <w:t xml:space="preserve">suitable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data source. While it is important to note that even the decisions that these committees have reached cannot be regarded as morally objective either, they still promise to deliver </w:t>
      </w:r>
      <w:r w:rsidDel="00000000" w:rsidR="00000000" w:rsidRPr="00000000">
        <w:rPr>
          <w:rFonts w:ascii="Times New Roman" w:cs="Times New Roman" w:eastAsia="Times New Roman" w:hAnsi="Times New Roman"/>
          <w:rtl w:val="0"/>
        </w:rPr>
        <w:t xml:space="preserve">adequate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training data for algorithms whose goal it is to replicate as closely as possible the </w:t>
      </w:r>
      <w:r w:rsidDel="00000000" w:rsidR="00000000" w:rsidRPr="00000000">
        <w:rPr>
          <w:rFonts w:ascii="Times New Roman" w:cs="Times New Roman" w:eastAsia="Times New Roman" w:hAnsi="Times New Roman"/>
          <w:rtl w:val="0"/>
        </w:rPr>
        <w:t xml:space="preserve">recommendations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that ethical advisory bodies typically issue.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544921875" w:line="240" w:lineRule="auto"/>
        <w:ind w:left="1.97998046875"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 Will the Future Bring?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9521484375" w:line="258.9872646331787" w:lineRule="auto"/>
        <w:ind w:left="8.58001708984375" w:right="4.86083984375" w:firstLine="3.95996093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this first feasibility study, we propose a way in which machine intelligence could be </w:t>
      </w:r>
      <w:r w:rsidDel="00000000" w:rsidR="00000000" w:rsidRPr="00000000">
        <w:rPr>
          <w:rFonts w:ascii="Times New Roman" w:cs="Times New Roman" w:eastAsia="Times New Roman" w:hAnsi="Times New Roman"/>
          <w:rtl w:val="0"/>
        </w:rPr>
        <w:t xml:space="preserve">utilised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solve a range of real-life moral dilemmas that occur in clinical settings. Our </w:t>
      </w:r>
      <w:r w:rsidDel="00000000" w:rsidR="00000000" w:rsidRPr="00000000">
        <w:rPr>
          <w:rFonts w:ascii="Times New Roman" w:cs="Times New Roman" w:eastAsia="Times New Roman" w:hAnsi="Times New Roman"/>
          <w:rtl w:val="0"/>
        </w:rPr>
        <w:t xml:space="preserve">algorithm</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offers a framework to systematically break down medical ethics cases into a set of quantifiable parameters and provides a novel approach to modelling their assessment in a computerised way.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5546875" w:line="258.9872646331787" w:lineRule="auto"/>
        <w:ind w:left="8.58001708984375" w:right="11.680908203125" w:firstLine="717.5799560546875"/>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That one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can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do something does not imply that one also </w:t>
      </w:r>
      <w:r w:rsidDel="00000000" w:rsidR="00000000" w:rsidRPr="00000000">
        <w:rPr>
          <w:rFonts w:ascii="Times New Roman" w:cs="Times New Roman" w:eastAsia="Times New Roman" w:hAnsi="Times New Roman"/>
          <w:i w:val="1"/>
          <w:smallCaps w:val="0"/>
          <w:strike w:val="0"/>
          <w:color w:val="000000"/>
          <w:u w:val="none"/>
          <w:shd w:fill="auto" w:val="clear"/>
          <w:vertAlign w:val="baseline"/>
          <w:rtl w:val="0"/>
        </w:rPr>
        <w:t xml:space="preserve">should</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the basic </w:t>
      </w:r>
      <w:r w:rsidDel="00000000" w:rsidR="00000000" w:rsidRPr="00000000">
        <w:rPr>
          <w:rFonts w:ascii="Times New Roman" w:cs="Times New Roman" w:eastAsia="Times New Roman" w:hAnsi="Times New Roman"/>
          <w:rtl w:val="0"/>
        </w:rPr>
        <w:t xml:space="preserve">technological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means to aid ethical decision-making now exist; but would it really be a good idea to implement such a technology in our clinics? Most people will find the prospect of </w:t>
      </w:r>
      <w:r w:rsidDel="00000000" w:rsidR="00000000" w:rsidRPr="00000000">
        <w:rPr>
          <w:rFonts w:ascii="Times New Roman" w:cs="Times New Roman" w:eastAsia="Times New Roman" w:hAnsi="Times New Roman"/>
          <w:rtl w:val="0"/>
        </w:rPr>
        <w:t xml:space="preserve">autonomously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driving vehicles taking morally relevant decisions in situations of unavoidable harm easier to accept than having judgments in clinical settings made by machine intelligence.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53466796875" w:line="259.1689682006836" w:lineRule="auto"/>
        <w:ind w:left="5.279998779296875" w:right="3.5400390625" w:firstLine="727.2599792480469"/>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In the foreseeable future, ethical advisory systems will likely be employed only to support, not to stand in lieu of, human judgment. They could, for example, be used for </w:t>
      </w:r>
      <w:r w:rsidDel="00000000" w:rsidR="00000000" w:rsidRPr="00000000">
        <w:rPr>
          <w:rFonts w:ascii="Times New Roman" w:cs="Times New Roman" w:eastAsia="Times New Roman" w:hAnsi="Times New Roman"/>
          <w:rtl w:val="0"/>
        </w:rPr>
        <w:t xml:space="preserve">educational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purposes such as for training medical students and aspiring ethicists. One may also utilise them to provide patients and relatives with informal ethical guidance in cases that are not deemed important or controversial enough to be brought before clinical ethics </w:t>
      </w:r>
      <w:r w:rsidDel="00000000" w:rsidR="00000000" w:rsidRPr="00000000">
        <w:rPr>
          <w:rFonts w:ascii="Times New Roman" w:cs="Times New Roman" w:eastAsia="Times New Roman" w:hAnsi="Times New Roman"/>
          <w:rtl w:val="0"/>
        </w:rPr>
        <w:t xml:space="preserve">committees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8720703125" w:line="259.2901039123535" w:lineRule="auto"/>
        <w:ind w:left="8.800048828125" w:right="2.6416015625" w:firstLine="724.8399353027344"/>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Currently, the prospect of putting our patients’ fate into the hands of non-biological apparatuses is met with great resistance. Irrespective of whether or not this is a path that </w:t>
      </w:r>
      <w:r w:rsidDel="00000000" w:rsidR="00000000" w:rsidRPr="00000000">
        <w:rPr>
          <w:rFonts w:ascii="Times New Roman" w:cs="Times New Roman" w:eastAsia="Times New Roman" w:hAnsi="Times New Roman"/>
          <w:rtl w:val="0"/>
        </w:rPr>
        <w:t xml:space="preserve">society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will ultimately wish to pursue – it is crucial already to begin this discussion and </w:t>
      </w:r>
      <w:r w:rsidDel="00000000" w:rsidR="00000000" w:rsidRPr="00000000">
        <w:rPr>
          <w:rFonts w:ascii="Times New Roman" w:cs="Times New Roman" w:eastAsia="Times New Roman" w:hAnsi="Times New Roman"/>
          <w:rtl w:val="0"/>
        </w:rPr>
        <w:t xml:space="preserve">carefully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consider the virtues and vices of the novel options that are becoming available to us. </w:t>
      </w:r>
      <w:r w:rsidDel="00000000" w:rsidR="00000000" w:rsidRPr="00000000">
        <w:rPr>
          <w:rtl w:val="0"/>
        </w:rPr>
      </w:r>
    </w:p>
    <w:sectPr>
      <w:footerReference r:id="rId6" w:type="default"/>
      <w:pgSz w:h="16820" w:w="11900" w:orient="portrait"/>
      <w:pgMar w:bottom="901.7800140380859" w:top="1138.013916015625" w:left="1418.02001953125" w:right="1411.35864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right"/>
      <w:rPr/>
    </w:pPr>
    <w:r w:rsidDel="00000000" w:rsidR="00000000" w:rsidRPr="00000000">
      <w:rPr>
        <w:rFonts w:ascii="PT Serif" w:cs="PT Serif" w:eastAsia="PT Serif" w:hAnsi="PT Serif"/>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